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24"/>
          <w:szCs w:val="24"/>
          <w:u w:val="single"/>
        </w:rPr>
      </w:pPr>
      <w:r>
        <w:rPr>
          <w:b w:val="1"/>
          <w:bCs w:val="1"/>
          <w:sz w:val="24"/>
          <w:szCs w:val="24"/>
          <w:u w:val="single"/>
          <w:rtl w:val="0"/>
          <w:lang w:val="en-US"/>
        </w:rPr>
        <w:t xml:space="preserve">Method Statement in support of application </w:t>
      </w:r>
      <w:r>
        <w:rPr>
          <w:b w:val="1"/>
          <w:bCs w:val="1"/>
          <w:sz w:val="24"/>
          <w:szCs w:val="24"/>
          <w:u w:val="single"/>
          <w:rtl w:val="0"/>
        </w:rPr>
        <w:t>PP-</w:t>
      </w:r>
      <w:r>
        <w:rPr>
          <w:b w:val="1"/>
          <w:bCs w:val="1"/>
          <w:sz w:val="24"/>
          <w:szCs w:val="24"/>
          <w:u w:val="single"/>
          <w:rtl w:val="0"/>
          <w:lang w:val="en-US"/>
        </w:rPr>
        <w:t>15236297</w:t>
      </w:r>
    </w:p>
    <w:p>
      <w:pPr>
        <w:pStyle w:val="Body"/>
        <w:rPr>
          <w:b w:val="1"/>
          <w:bCs w:val="1"/>
          <w:sz w:val="24"/>
          <w:szCs w:val="24"/>
          <w:u w:val="single"/>
        </w:rPr>
      </w:pPr>
      <w:r>
        <w:rPr>
          <w:b w:val="1"/>
          <w:bCs w:val="1"/>
          <w:sz w:val="24"/>
          <w:szCs w:val="24"/>
          <w:u w:val="single"/>
          <w:rtl w:val="0"/>
          <w:lang w:val="en-US"/>
        </w:rPr>
        <w:t>1-2 Kents Dairy Cottages, Brookpit Lane, Climping BN17 5QU</w:t>
      </w:r>
    </w:p>
    <w:p>
      <w:pPr>
        <w:pStyle w:val="Body"/>
        <w:rPr>
          <w:b w:val="1"/>
          <w:bCs w:val="1"/>
          <w:sz w:val="24"/>
          <w:szCs w:val="24"/>
          <w:u w:val="single"/>
        </w:rPr>
      </w:pPr>
      <w:r>
        <w:rPr>
          <w:b w:val="1"/>
          <w:bCs w:val="1"/>
          <w:sz w:val="24"/>
          <w:szCs w:val="24"/>
          <w:u w:val="single"/>
          <w:rtl w:val="0"/>
          <w:lang w:val="en-US"/>
        </w:rPr>
        <w:t>September 2026</w:t>
      </w:r>
    </w:p>
    <w:p>
      <w:pPr>
        <w:pStyle w:val="Body"/>
        <w:rPr>
          <w:b w:val="1"/>
          <w:bCs w:val="1"/>
          <w:sz w:val="24"/>
          <w:szCs w:val="24"/>
          <w:u w:val="single"/>
        </w:rPr>
      </w:pPr>
    </w:p>
    <w:p>
      <w:pPr>
        <w:pStyle w:val="Body"/>
        <w:rPr>
          <w:sz w:val="24"/>
          <w:szCs w:val="24"/>
        </w:rPr>
      </w:pPr>
      <w:r>
        <w:rPr>
          <w:sz w:val="24"/>
          <w:szCs w:val="24"/>
          <w:rtl w:val="0"/>
          <w:lang w:val="en-US"/>
        </w:rPr>
        <w:t>Erection of a single storey detached greenhouse to rear of Grade 2 listed building.</w:t>
      </w:r>
    </w:p>
    <w:p>
      <w:pPr>
        <w:pStyle w:val="Body"/>
        <w:rPr>
          <w:sz w:val="24"/>
          <w:szCs w:val="24"/>
        </w:rPr>
      </w:pPr>
    </w:p>
    <w:p>
      <w:pPr>
        <w:pStyle w:val="Body"/>
        <w:rPr>
          <w:b w:val="1"/>
          <w:bCs w:val="1"/>
          <w:sz w:val="24"/>
          <w:szCs w:val="24"/>
          <w:u w:val="single"/>
        </w:rPr>
      </w:pPr>
      <w:r>
        <w:rPr>
          <w:b w:val="1"/>
          <w:bCs w:val="1"/>
          <w:sz w:val="24"/>
          <w:szCs w:val="24"/>
          <w:u w:val="single"/>
          <w:rtl w:val="0"/>
          <w:lang w:val="en-US"/>
        </w:rPr>
        <w:t>Location</w:t>
      </w:r>
    </w:p>
    <w:p>
      <w:pPr>
        <w:pStyle w:val="Body"/>
        <w:bidi w:val="0"/>
      </w:pPr>
    </w:p>
    <w:p>
      <w:pPr>
        <w:pStyle w:val="Body"/>
        <w:rPr>
          <w:sz w:val="24"/>
          <w:szCs w:val="24"/>
        </w:rPr>
      </w:pPr>
      <w:r>
        <w:rPr>
          <w:sz w:val="24"/>
          <w:szCs w:val="24"/>
          <w:rtl w:val="0"/>
          <w:lang w:val="en-US"/>
        </w:rPr>
        <w:t>The greenhouse will sit to the rear (East) of the existing garage towards the north end of the property.</w:t>
      </w:r>
    </w:p>
    <w:p>
      <w:pPr>
        <w:pStyle w:val="Body"/>
        <w:rPr>
          <w:sz w:val="24"/>
          <w:szCs w:val="24"/>
        </w:rPr>
      </w:pPr>
    </w:p>
    <w:p>
      <w:pPr>
        <w:pStyle w:val="Body"/>
        <w:rPr>
          <w:sz w:val="24"/>
          <w:szCs w:val="24"/>
        </w:rPr>
      </w:pPr>
      <w:r>
        <w:rPr>
          <w:sz w:val="24"/>
          <w:szCs w:val="24"/>
          <w:rtl w:val="0"/>
          <w:lang w:val="en-US"/>
        </w:rPr>
        <w:t>The greenhouse will be sited approximately 16m from the north east corner of the Grade 2 listed cottage.</w:t>
      </w:r>
    </w:p>
    <w:p>
      <w:pPr>
        <w:pStyle w:val="Body"/>
        <w:rPr>
          <w:sz w:val="24"/>
          <w:szCs w:val="24"/>
        </w:rPr>
      </w:pPr>
    </w:p>
    <w:p>
      <w:pPr>
        <w:pStyle w:val="Body"/>
        <w:rPr>
          <w:sz w:val="24"/>
          <w:szCs w:val="24"/>
        </w:rPr>
      </w:pPr>
      <w:r>
        <w:rPr>
          <w:sz w:val="24"/>
          <w:szCs w:val="24"/>
          <w:rtl w:val="0"/>
          <w:lang w:val="en-US"/>
        </w:rPr>
        <w:t>The greenhouse style and colour has been chosen to have limited impact on the historic character of the garden and will be fully screened from the house by the garage and trees, and from the main garden by trees.  The greenhouse will not be visible from any public highway.</w:t>
      </w:r>
    </w:p>
    <w:p>
      <w:pPr>
        <w:pStyle w:val="Body"/>
        <w:rPr>
          <w:sz w:val="24"/>
          <w:szCs w:val="24"/>
        </w:rPr>
      </w:pPr>
    </w:p>
    <w:p>
      <w:pPr>
        <w:pStyle w:val="Body"/>
        <w:rPr>
          <w:sz w:val="24"/>
          <w:szCs w:val="24"/>
        </w:rPr>
      </w:pPr>
      <w:r>
        <w:rPr>
          <w:sz w:val="24"/>
          <w:szCs w:val="24"/>
          <w:rtl w:val="0"/>
          <w:lang w:val="en-US"/>
        </w:rPr>
        <w:t>The greenhouse will have no foundations but will sit upon a steel frame, which itself will sit upon existing gravel and compacted earth.  No tree roots or underground structures will be impacted.</w:t>
      </w:r>
    </w:p>
    <w:p>
      <w:pPr>
        <w:pStyle w:val="Body"/>
        <w:rPr>
          <w:sz w:val="24"/>
          <w:szCs w:val="24"/>
        </w:rPr>
      </w:pPr>
    </w:p>
    <w:p>
      <w:pPr>
        <w:pStyle w:val="Body"/>
        <w:rPr>
          <w:sz w:val="24"/>
          <w:szCs w:val="24"/>
        </w:rPr>
      </w:pPr>
      <w:r>
        <w:rPr>
          <w:sz w:val="24"/>
          <w:szCs w:val="24"/>
          <w:rtl w:val="0"/>
          <w:lang w:val="en-US"/>
        </w:rPr>
        <w:t xml:space="preserve">No water or electricity will be routed to the greenhouse.  </w:t>
      </w:r>
    </w:p>
    <w:p>
      <w:pPr>
        <w:pStyle w:val="Body"/>
        <w:rPr>
          <w:sz w:val="24"/>
          <w:szCs w:val="24"/>
        </w:rPr>
      </w:pPr>
    </w:p>
    <w:p>
      <w:pPr>
        <w:pStyle w:val="Body"/>
        <w:rPr>
          <w:sz w:val="24"/>
          <w:szCs w:val="24"/>
        </w:rPr>
      </w:pPr>
      <w:r>
        <w:rPr>
          <w:sz w:val="24"/>
          <w:szCs w:val="24"/>
          <w:rtl w:val="0"/>
          <w:lang w:val="en-US"/>
        </w:rPr>
        <w:t>The greenhouse frame will be black powder coated aluminium in order to blend into the background.  The glass will be 3mm toughened safety glass with black profile bars.</w:t>
      </w:r>
    </w:p>
    <w:p>
      <w:pPr>
        <w:pStyle w:val="Body"/>
        <w:rPr>
          <w:sz w:val="24"/>
          <w:szCs w:val="24"/>
        </w:rPr>
      </w:pPr>
    </w:p>
    <w:p>
      <w:pPr>
        <w:pStyle w:val="Body"/>
        <w:rPr>
          <w:sz w:val="24"/>
          <w:szCs w:val="24"/>
        </w:rPr>
      </w:pPr>
      <w:r>
        <w:rPr>
          <w:sz w:val="24"/>
          <w:szCs w:val="24"/>
          <w:rtl w:val="0"/>
          <w:lang w:val="en-US"/>
        </w:rPr>
        <w:t>Dimensions of greenhouse;</w:t>
      </w:r>
    </w:p>
    <w:p>
      <w:pPr>
        <w:pStyle w:val="Body"/>
        <w:rPr>
          <w:sz w:val="24"/>
          <w:szCs w:val="24"/>
        </w:rPr>
      </w:pPr>
      <w:r>
        <w:rPr>
          <w:sz w:val="24"/>
          <w:szCs w:val="24"/>
          <w:rtl w:val="0"/>
        </w:rPr>
        <w:tab/>
        <w:t>ridge height 2.46m</w:t>
      </w:r>
    </w:p>
    <w:p>
      <w:pPr>
        <w:pStyle w:val="Body"/>
        <w:rPr>
          <w:sz w:val="24"/>
          <w:szCs w:val="24"/>
        </w:rPr>
      </w:pPr>
      <w:r>
        <w:rPr>
          <w:sz w:val="24"/>
          <w:szCs w:val="24"/>
          <w:rtl w:val="0"/>
        </w:rPr>
        <w:tab/>
        <w:t>height to eaves 1.35m</w:t>
      </w:r>
    </w:p>
    <w:p>
      <w:pPr>
        <w:pStyle w:val="Body"/>
        <w:rPr>
          <w:sz w:val="24"/>
          <w:szCs w:val="24"/>
        </w:rPr>
      </w:pPr>
      <w:r>
        <w:rPr>
          <w:sz w:val="24"/>
          <w:szCs w:val="24"/>
          <w:rtl w:val="0"/>
        </w:rPr>
        <w:tab/>
        <w:t>total floor area 13.2 sqm</w:t>
      </w:r>
    </w:p>
    <w:p>
      <w:pPr>
        <w:pStyle w:val="Body"/>
        <w:rPr>
          <w:sz w:val="24"/>
          <w:szCs w:val="24"/>
        </w:rPr>
      </w:pPr>
    </w:p>
    <w:p>
      <w:pPr>
        <w:pStyle w:val="Body"/>
        <w:rPr>
          <w:b w:val="1"/>
          <w:bCs w:val="1"/>
          <w:sz w:val="24"/>
          <w:szCs w:val="24"/>
          <w:u w:val="single"/>
        </w:rPr>
      </w:pPr>
      <w:r>
        <w:rPr>
          <w:b w:val="1"/>
          <w:bCs w:val="1"/>
          <w:sz w:val="24"/>
          <w:szCs w:val="24"/>
          <w:u w:val="single"/>
          <w:rtl w:val="0"/>
          <w:lang w:val="en-US"/>
        </w:rPr>
        <w:t xml:space="preserve">Site Access </w:t>
      </w:r>
    </w:p>
    <w:p>
      <w:pPr>
        <w:pStyle w:val="Body"/>
        <w:rPr>
          <w:sz w:val="24"/>
          <w:szCs w:val="24"/>
        </w:rPr>
      </w:pPr>
      <w:r>
        <w:rPr>
          <w:sz w:val="24"/>
          <w:szCs w:val="24"/>
          <w:rtl w:val="0"/>
          <w:lang w:val="en-US"/>
        </w:rPr>
        <w:t xml:space="preserve">The greenhouse will be delivered to the property driveway in parts and manually transferred to the rear of the garage along the existing path.  No heavy machinery will be used in the preparation or erection of the greenhouse.  All greenhouse erection will be completed by the householders. </w:t>
      </w:r>
    </w:p>
    <w:p>
      <w:pPr>
        <w:pStyle w:val="Body"/>
        <w:rPr>
          <w:sz w:val="24"/>
          <w:szCs w:val="24"/>
        </w:rPr>
      </w:pPr>
    </w:p>
    <w:p>
      <w:pPr>
        <w:pStyle w:val="Body"/>
        <w:rPr>
          <w:sz w:val="24"/>
          <w:szCs w:val="24"/>
        </w:rPr>
      </w:pPr>
      <w:r>
        <w:rPr>
          <w:sz w:val="24"/>
          <w:szCs w:val="24"/>
          <w:rtl w:val="0"/>
          <w:lang w:val="en-US"/>
        </w:rPr>
        <w:t>The greenhouse is free-standing and will not be in close proximity to any historic wall.</w:t>
      </w:r>
    </w:p>
    <w:p>
      <w:pPr>
        <w:pStyle w:val="Body"/>
        <w:rPr>
          <w:sz w:val="24"/>
          <w:szCs w:val="24"/>
        </w:rPr>
      </w:pPr>
    </w:p>
    <w:p>
      <w:pPr>
        <w:pStyle w:val="Body"/>
        <w:rPr>
          <w:sz w:val="24"/>
          <w:szCs w:val="24"/>
        </w:rPr>
      </w:pPr>
      <w:r>
        <w:rPr>
          <w:sz w:val="24"/>
          <w:szCs w:val="24"/>
          <w:rtl w:val="0"/>
          <w:lang w:val="en-US"/>
        </w:rPr>
        <w:t>No groundworks for foundations will be required and there will be no impact on neighbouring trees.</w:t>
      </w:r>
    </w:p>
    <w:p>
      <w:pPr>
        <w:pStyle w:val="Body"/>
        <w:rPr>
          <w:sz w:val="24"/>
          <w:szCs w:val="24"/>
        </w:rPr>
      </w:pPr>
    </w:p>
    <w:p>
      <w:pPr>
        <w:pStyle w:val="Body"/>
        <w:rPr>
          <w:b w:val="1"/>
          <w:bCs w:val="1"/>
          <w:sz w:val="24"/>
          <w:szCs w:val="24"/>
          <w:u w:val="single"/>
        </w:rPr>
      </w:pPr>
      <w:r>
        <w:rPr>
          <w:b w:val="1"/>
          <w:bCs w:val="1"/>
          <w:sz w:val="24"/>
          <w:szCs w:val="24"/>
          <w:u w:val="single"/>
          <w:rtl w:val="0"/>
          <w:lang w:val="en-US"/>
        </w:rPr>
        <w:t>Construction Sequence</w:t>
      </w:r>
    </w:p>
    <w:p>
      <w:pPr>
        <w:pStyle w:val="Body"/>
        <w:rPr>
          <w:sz w:val="24"/>
          <w:szCs w:val="24"/>
        </w:rPr>
      </w:pPr>
    </w:p>
    <w:p>
      <w:pPr>
        <w:pStyle w:val="Body"/>
        <w:numPr>
          <w:ilvl w:val="0"/>
          <w:numId w:val="2"/>
        </w:numPr>
        <w:rPr>
          <w:sz w:val="24"/>
          <w:szCs w:val="24"/>
          <w:lang w:val="en-US"/>
        </w:rPr>
      </w:pPr>
      <w:r>
        <w:rPr>
          <w:sz w:val="24"/>
          <w:szCs w:val="24"/>
          <w:rtl w:val="0"/>
          <w:lang w:val="en-US"/>
        </w:rPr>
        <w:t>The steel plinth will be secured in place (steel frame with a post in each corner to secure.</w:t>
      </w:r>
    </w:p>
    <w:p>
      <w:pPr>
        <w:pStyle w:val="Body"/>
        <w:numPr>
          <w:ilvl w:val="0"/>
          <w:numId w:val="2"/>
        </w:numPr>
        <w:rPr>
          <w:sz w:val="24"/>
          <w:szCs w:val="24"/>
          <w:lang w:val="en-US"/>
        </w:rPr>
      </w:pPr>
      <w:r>
        <w:rPr>
          <w:sz w:val="24"/>
          <w:szCs w:val="24"/>
          <w:rtl w:val="0"/>
          <w:lang w:val="en-US"/>
        </w:rPr>
        <w:t>Erection of the aluminium frame</w:t>
      </w:r>
    </w:p>
    <w:p>
      <w:pPr>
        <w:pStyle w:val="Body"/>
        <w:numPr>
          <w:ilvl w:val="0"/>
          <w:numId w:val="2"/>
        </w:numPr>
        <w:rPr>
          <w:sz w:val="24"/>
          <w:szCs w:val="24"/>
          <w:lang w:val="en-US"/>
        </w:rPr>
      </w:pPr>
      <w:r>
        <w:rPr>
          <w:sz w:val="24"/>
          <w:szCs w:val="24"/>
          <w:rtl w:val="0"/>
          <w:lang w:val="en-US"/>
        </w:rPr>
        <w:t>Installation of glazing panels</w:t>
      </w:r>
    </w:p>
    <w:p>
      <w:pPr>
        <w:pStyle w:val="Body"/>
        <w:rPr>
          <w:sz w:val="24"/>
          <w:szCs w:val="24"/>
        </w:rPr>
      </w:pPr>
    </w:p>
    <w:p>
      <w:pPr>
        <w:pStyle w:val="Body"/>
        <w:rPr>
          <w:sz w:val="24"/>
          <w:szCs w:val="24"/>
        </w:rPr>
      </w:pPr>
      <w:r>
        <w:rPr>
          <w:sz w:val="24"/>
          <w:szCs w:val="24"/>
          <w:rtl w:val="0"/>
          <w:lang w:val="en-US"/>
        </w:rPr>
        <w:t>All waste materials will be removed and disposed of correctly.</w:t>
      </w:r>
    </w:p>
    <w:p>
      <w:pPr>
        <w:pStyle w:val="Body"/>
        <w:rPr>
          <w:sz w:val="24"/>
          <w:szCs w:val="24"/>
        </w:rPr>
      </w:pPr>
    </w:p>
    <w:p>
      <w:pPr>
        <w:pStyle w:val="Body"/>
      </w:pPr>
      <w:r>
        <w:rPr>
          <w:sz w:val="24"/>
          <w:szCs w:val="24"/>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numbering" Target="numbering.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header" Target="header1.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85CE489AE92940AB0D803506A4DE8B" ma:contentTypeVersion="15" ma:contentTypeDescription="Create a new document." ma:contentTypeScope="" ma:versionID="4ae520db20bd8b58a0bef6f9857bf6a4">
  <xsd:schema xmlns:xsd="http://www.w3.org/2001/XMLSchema" xmlns:xs="http://www.w3.org/2001/XMLSchema" xmlns:p="http://schemas.microsoft.com/office/2006/metadata/properties" xmlns:ns2="281543cd-943e-4949-96fd-2ee68be82aa0" xmlns:ns3="58f9c5d4-582f-4227-8141-6147d66f0cdb" targetNamespace="http://schemas.microsoft.com/office/2006/metadata/properties" ma:root="true" ma:fieldsID="2b5353c8c9ca2ffe473dfd2a97ece772" ns2:_="" ns3:_="">
    <xsd:import namespace="281543cd-943e-4949-96fd-2ee68be82aa0"/>
    <xsd:import namespace="58f9c5d4-582f-4227-8141-6147d66f0c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543cd-943e-4949-96fd-2ee68be82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643fe0-4387-4ab8-a950-cd8d023239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andTime" ma:index="22"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8f9c5d4-582f-4227-8141-6147d66f0c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a631b9e-9a84-4ee2-b0a9-2d1fd2245061}" ma:internalName="TaxCatchAll" ma:showField="CatchAllData" ma:web="58f9c5d4-582f-4227-8141-6147d66f0c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1543cd-943e-4949-96fd-2ee68be82aa0">
      <Terms xmlns="http://schemas.microsoft.com/office/infopath/2007/PartnerControls"/>
    </lcf76f155ced4ddcb4097134ff3c332f>
    <TaxCatchAll xmlns="58f9c5d4-582f-4227-8141-6147d66f0cdb" xsi:nil="true"/>
    <DateandTime xmlns="281543cd-943e-4949-96fd-2ee68be82aa0" xsi:nil="true"/>
  </documentManagement>
</p:properties>
</file>

<file path=customXml/itemProps1.xml><?xml version="1.0" encoding="utf-8"?>
<ds:datastoreItem xmlns:ds="http://schemas.openxmlformats.org/officeDocument/2006/customXml" ds:itemID="{F05690E9-0D9A-4EAD-A61C-47A541E4FA82}"/>
</file>

<file path=customXml/itemProps2.xml><?xml version="1.0" encoding="utf-8"?>
<ds:datastoreItem xmlns:ds="http://schemas.openxmlformats.org/officeDocument/2006/customXml" ds:itemID="{14F14CC5-E35E-4B17-A373-6A3ACFE84B14}"/>
</file>

<file path=customXml/itemProps3.xml><?xml version="1.0" encoding="utf-8"?>
<ds:datastoreItem xmlns:ds="http://schemas.openxmlformats.org/officeDocument/2006/customXml" ds:itemID="{597EAA29-B3BC-4E85-A470-5E2E13CDFCF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0x0101001785CE489AE92940AB0D803506A4DE8B</vt:lpwstr>
  </property>
</Properties>
</file>